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6BB866F1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0E3CDE" w:rsidRPr="000E3CDE">
        <w:rPr>
          <w:b/>
          <w:sz w:val="22"/>
          <w:szCs w:val="22"/>
        </w:rPr>
        <w:t>Ü15293/18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6551"/>
      </w:tblGrid>
      <w:tr w:rsidR="009F4749" w:rsidRPr="004273E3" w14:paraId="78114F1D" w14:textId="77777777" w:rsidTr="006A6BB0">
        <w:tc>
          <w:tcPr>
            <w:tcW w:w="8678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6A6BB0">
        <w:tc>
          <w:tcPr>
            <w:tcW w:w="2127" w:type="dxa"/>
            <w:shd w:val="clear" w:color="auto" w:fill="auto"/>
          </w:tcPr>
          <w:p w14:paraId="78114F1E" w14:textId="77777777" w:rsidR="00013B8A" w:rsidRPr="00B468D6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B468D6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551" w:type="dxa"/>
            <w:shd w:val="clear" w:color="auto" w:fill="auto"/>
          </w:tcPr>
          <w:p w14:paraId="78114F1F" w14:textId="6AD7BD75" w:rsidR="00013B8A" w:rsidRPr="00B468D6" w:rsidRDefault="000E3CDE" w:rsidP="005A17B1">
            <w:pPr>
              <w:rPr>
                <w:sz w:val="22"/>
                <w:szCs w:val="22"/>
                <w:lang w:val="et-EE"/>
              </w:rPr>
            </w:pPr>
            <w:r w:rsidRPr="00B468D6">
              <w:rPr>
                <w:sz w:val="22"/>
                <w:szCs w:val="22"/>
                <w:lang w:val="et-EE"/>
              </w:rPr>
              <w:t>Endla 10a, Tallinn</w:t>
            </w:r>
          </w:p>
        </w:tc>
      </w:tr>
      <w:tr w:rsidR="003C7198" w:rsidRPr="004273E3" w14:paraId="78114F23" w14:textId="77777777" w:rsidTr="006A6BB0">
        <w:tc>
          <w:tcPr>
            <w:tcW w:w="2127" w:type="dxa"/>
            <w:shd w:val="clear" w:color="auto" w:fill="auto"/>
          </w:tcPr>
          <w:p w14:paraId="78114F21" w14:textId="77777777" w:rsidR="003C7198" w:rsidRPr="00B468D6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B468D6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551" w:type="dxa"/>
            <w:shd w:val="clear" w:color="auto" w:fill="auto"/>
          </w:tcPr>
          <w:p w14:paraId="78114F22" w14:textId="0B63A7E1" w:rsidR="003C7198" w:rsidRPr="00B468D6" w:rsidRDefault="000E3CDE" w:rsidP="00AC61E1">
            <w:pPr>
              <w:rPr>
                <w:sz w:val="22"/>
                <w:szCs w:val="22"/>
                <w:lang w:val="et-EE"/>
              </w:rPr>
            </w:pPr>
            <w:r w:rsidRPr="00B468D6">
              <w:rPr>
                <w:sz w:val="22"/>
                <w:szCs w:val="22"/>
                <w:lang w:val="et-EE"/>
              </w:rPr>
              <w:t>90701</w:t>
            </w:r>
          </w:p>
        </w:tc>
      </w:tr>
      <w:tr w:rsidR="00C47052" w:rsidRPr="004273E3" w14:paraId="78114F26" w14:textId="77777777" w:rsidTr="006A6BB0">
        <w:tc>
          <w:tcPr>
            <w:tcW w:w="2127" w:type="dxa"/>
            <w:shd w:val="clear" w:color="auto" w:fill="auto"/>
          </w:tcPr>
          <w:p w14:paraId="78114F24" w14:textId="77777777" w:rsidR="00C47052" w:rsidRPr="00B468D6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B468D6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551" w:type="dxa"/>
            <w:shd w:val="clear" w:color="auto" w:fill="auto"/>
          </w:tcPr>
          <w:p w14:paraId="78114F25" w14:textId="0E40868F" w:rsidR="00C47052" w:rsidRPr="00B468D6" w:rsidRDefault="000E3CDE" w:rsidP="005A17B1">
            <w:pPr>
              <w:rPr>
                <w:sz w:val="22"/>
                <w:szCs w:val="22"/>
                <w:lang w:val="et-EE"/>
              </w:rPr>
            </w:pPr>
            <w:r w:rsidRPr="00B468D6">
              <w:rPr>
                <w:sz w:val="22"/>
                <w:szCs w:val="22"/>
                <w:lang w:val="et-EE"/>
              </w:rPr>
              <w:t>78401:108:0210</w:t>
            </w:r>
          </w:p>
        </w:tc>
      </w:tr>
      <w:tr w:rsidR="003C7198" w:rsidRPr="004273E3" w14:paraId="78114F29" w14:textId="77777777" w:rsidTr="006A6BB0">
        <w:tc>
          <w:tcPr>
            <w:tcW w:w="2127" w:type="dxa"/>
            <w:shd w:val="clear" w:color="auto" w:fill="auto"/>
          </w:tcPr>
          <w:p w14:paraId="78114F27" w14:textId="77777777" w:rsidR="003C7198" w:rsidRPr="00B468D6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B468D6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551" w:type="dxa"/>
            <w:shd w:val="clear" w:color="auto" w:fill="auto"/>
          </w:tcPr>
          <w:p w14:paraId="78114F28" w14:textId="589597EE" w:rsidR="003C7198" w:rsidRPr="00B468D6" w:rsidRDefault="000E3CDE" w:rsidP="005A17B1">
            <w:pPr>
              <w:rPr>
                <w:sz w:val="22"/>
                <w:szCs w:val="22"/>
                <w:lang w:val="et-EE"/>
              </w:rPr>
            </w:pPr>
            <w:r w:rsidRPr="00B468D6">
              <w:rPr>
                <w:sz w:val="22"/>
                <w:szCs w:val="22"/>
                <w:lang w:val="et-EE"/>
              </w:rPr>
              <w:t>Tarbijakaitse ja Tehnilise Järelevalve Amet</w:t>
            </w:r>
          </w:p>
        </w:tc>
      </w:tr>
      <w:tr w:rsidR="003C7198" w:rsidRPr="004273E3" w14:paraId="78114F2C" w14:textId="77777777" w:rsidTr="006A6BB0">
        <w:tc>
          <w:tcPr>
            <w:tcW w:w="2127" w:type="dxa"/>
            <w:shd w:val="clear" w:color="auto" w:fill="auto"/>
          </w:tcPr>
          <w:p w14:paraId="78114F2A" w14:textId="77777777" w:rsidR="003C7198" w:rsidRPr="00B468D6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B468D6">
              <w:rPr>
                <w:b/>
                <w:sz w:val="22"/>
                <w:szCs w:val="22"/>
                <w:lang w:val="et-EE"/>
              </w:rPr>
              <w:t>E</w:t>
            </w:r>
            <w:r w:rsidR="006A6BB0" w:rsidRPr="00B468D6">
              <w:rPr>
                <w:b/>
                <w:sz w:val="22"/>
                <w:szCs w:val="22"/>
                <w:lang w:val="et-EE"/>
              </w:rPr>
              <w:t>hitisregistri</w:t>
            </w:r>
            <w:r w:rsidRPr="00B468D6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551" w:type="dxa"/>
            <w:shd w:val="clear" w:color="auto" w:fill="auto"/>
          </w:tcPr>
          <w:p w14:paraId="78114F2B" w14:textId="6BD3D66E" w:rsidR="003C7198" w:rsidRPr="00B468D6" w:rsidRDefault="000E3CDE" w:rsidP="005A17B1">
            <w:pPr>
              <w:rPr>
                <w:sz w:val="22"/>
                <w:szCs w:val="22"/>
                <w:lang w:val="et-EE"/>
              </w:rPr>
            </w:pPr>
            <w:r w:rsidRPr="00B468D6">
              <w:rPr>
                <w:sz w:val="22"/>
                <w:szCs w:val="22"/>
                <w:lang w:val="et-EE"/>
              </w:rPr>
              <w:t>101038951</w:t>
            </w:r>
          </w:p>
        </w:tc>
      </w:tr>
      <w:tr w:rsidR="00013B8A" w:rsidRPr="004273E3" w14:paraId="78114F2F" w14:textId="77777777" w:rsidTr="006A6BB0">
        <w:tc>
          <w:tcPr>
            <w:tcW w:w="2127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551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</w:rPr>
          <w:t>KÄITUMINE PUUDUSTE, RIKETE, AVARIIDE 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FC5C60">
      <w:pPr>
        <w:pStyle w:val="SK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Pealkiri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77777777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 läbi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77777777" w:rsidR="001364D5" w:rsidRPr="004273E3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RKAS-i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8.00 - 1</w:t>
            </w:r>
            <w:r w:rsidR="00B527C3">
              <w:rPr>
                <w:sz w:val="22"/>
                <w:szCs w:val="22"/>
                <w:lang w:val="et-EE"/>
              </w:rPr>
              <w:t>8</w:t>
            </w:r>
            <w:r w:rsidR="006C6E94" w:rsidRPr="004273E3">
              <w:rPr>
                <w:sz w:val="22"/>
                <w:szCs w:val="22"/>
                <w:lang w:val="et-EE"/>
              </w:rPr>
              <w:t>.00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2" w:history="1">
              <w:r w:rsidR="00D61263" w:rsidRPr="00062842">
                <w:rPr>
                  <w:rStyle w:val="Hperlink"/>
                  <w:sz w:val="22"/>
                  <w:szCs w:val="22"/>
                  <w:lang w:val="et-EE"/>
                </w:rPr>
                <w:t>klienditugi@rkas.ee</w:t>
              </w:r>
            </w:hyperlink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Pealkiri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00BC0B64">
        <w:trPr>
          <w:trHeight w:val="444"/>
        </w:trPr>
        <w:tc>
          <w:tcPr>
            <w:tcW w:w="2016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371" w:type="dxa"/>
            <w:shd w:val="clear" w:color="auto" w:fill="auto"/>
          </w:tcPr>
          <w:p w14:paraId="78114F51" w14:textId="5926FB2A" w:rsidR="00100560" w:rsidRPr="000E3CDE" w:rsidRDefault="007C6334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</w:tc>
      </w:tr>
      <w:tr w:rsidR="0014780C" w:rsidRPr="004273E3" w14:paraId="78114F56" w14:textId="77777777" w:rsidTr="00BC0B64">
        <w:tc>
          <w:tcPr>
            <w:tcW w:w="2016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371" w:type="dxa"/>
            <w:shd w:val="clear" w:color="auto" w:fill="auto"/>
          </w:tcPr>
          <w:p w14:paraId="78114F55" w14:textId="58EAE106" w:rsidR="00100560" w:rsidRPr="004273E3" w:rsidRDefault="007C6334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</w:tc>
      </w:tr>
      <w:tr w:rsidR="00DC0B8A" w:rsidRPr="004273E3" w14:paraId="78114F5B" w14:textId="77777777" w:rsidTr="00BC0B64">
        <w:tc>
          <w:tcPr>
            <w:tcW w:w="2016" w:type="dxa"/>
            <w:shd w:val="clear" w:color="auto" w:fill="auto"/>
          </w:tcPr>
          <w:p w14:paraId="78114F57" w14:textId="77777777" w:rsidR="00DC0B8A" w:rsidRPr="004273E3" w:rsidRDefault="00DC0B8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371" w:type="dxa"/>
            <w:shd w:val="clear" w:color="auto" w:fill="auto"/>
          </w:tcPr>
          <w:p w14:paraId="78114F58" w14:textId="74D8B6B9" w:rsidR="000E44D8" w:rsidRDefault="00711FCC" w:rsidP="000E44D8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 w:rsidR="000E44D8"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0E3CDE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0E44D8"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78114F5A" w14:textId="5E2CB6F5" w:rsidR="00100560" w:rsidRPr="004273E3" w:rsidRDefault="009A7A64" w:rsidP="00BC0B6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proofErr w:type="spellStart"/>
            <w:r w:rsidRPr="009A7A64">
              <w:rPr>
                <w:b w:val="0"/>
                <w:sz w:val="22"/>
                <w:szCs w:val="22"/>
              </w:rPr>
              <w:t>Üürnik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määrab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valvestamise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ja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valvest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mahavõtmise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ajad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</w:tr>
      <w:tr w:rsidR="00C82BFE" w:rsidRPr="004273E3" w14:paraId="78114F5F" w14:textId="77777777" w:rsidTr="00BC0B64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3DCF7C00" w:rsidR="00C82BFE" w:rsidRPr="000E3CDE" w:rsidRDefault="006E2F4B" w:rsidP="0028045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0E3CDE">
              <w:rPr>
                <w:b w:val="0"/>
                <w:sz w:val="22"/>
                <w:szCs w:val="22"/>
                <w:lang w:val="et-EE"/>
              </w:rPr>
              <w:t xml:space="preserve">puudub </w:t>
            </w:r>
            <w:r>
              <w:rPr>
                <w:b w:val="0"/>
                <w:sz w:val="22"/>
                <w:szCs w:val="22"/>
                <w:lang w:val="et-EE"/>
              </w:rPr>
              <w:t>mehitatud valve</w:t>
            </w:r>
            <w:r w:rsidR="000E3CDE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14780C" w:rsidRPr="004273E3" w14:paraId="78114F62" w14:textId="77777777" w:rsidTr="00BC0B64">
        <w:tc>
          <w:tcPr>
            <w:tcW w:w="2016" w:type="dxa"/>
            <w:shd w:val="clear" w:color="auto" w:fill="auto"/>
          </w:tcPr>
          <w:p w14:paraId="78114F60" w14:textId="77777777" w:rsidR="0014780C" w:rsidRPr="004273E3" w:rsidRDefault="008463B4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</w:t>
            </w:r>
            <w:r w:rsidR="0014780C" w:rsidRPr="004273E3">
              <w:rPr>
                <w:sz w:val="22"/>
                <w:szCs w:val="22"/>
                <w:lang w:val="et-EE"/>
              </w:rPr>
              <w:t xml:space="preserve">häire korral </w:t>
            </w:r>
          </w:p>
        </w:tc>
        <w:tc>
          <w:tcPr>
            <w:tcW w:w="7371" w:type="dxa"/>
            <w:shd w:val="clear" w:color="auto" w:fill="auto"/>
          </w:tcPr>
          <w:p w14:paraId="78114F61" w14:textId="2B465E99" w:rsidR="004B7324" w:rsidRPr="004B7324" w:rsidRDefault="009A7A64" w:rsidP="004B7324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proofErr w:type="spellStart"/>
            <w:r w:rsidRPr="009A7A64">
              <w:rPr>
                <w:b w:val="0"/>
                <w:sz w:val="22"/>
                <w:szCs w:val="22"/>
              </w:rPr>
              <w:t>Turvafirmale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on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kontaktisikuks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ja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objekti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sõidab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kontrollima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üürileandja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esindaja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ning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üürniku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poolsele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kontaktisikule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edastatakse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juhtunu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kohta info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telefoni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teel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Valveal</w:t>
            </w:r>
            <w:r w:rsidR="005A79AA">
              <w:rPr>
                <w:b w:val="0"/>
                <w:sz w:val="22"/>
                <w:szCs w:val="22"/>
              </w:rPr>
              <w:t>a</w:t>
            </w:r>
            <w:bookmarkStart w:id="3" w:name="_GoBack"/>
            <w:bookmarkEnd w:id="3"/>
            <w:proofErr w:type="spellEnd"/>
            <w:r w:rsidRPr="009A7A64">
              <w:rPr>
                <w:b w:val="0"/>
                <w:sz w:val="22"/>
                <w:szCs w:val="22"/>
              </w:rPr>
              <w:t xml:space="preserve"> (RS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ruum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)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puhul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on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kontaktisikuks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asutuse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poolt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volitatid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isik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kes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sõidab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objektile</w:t>
            </w:r>
            <w:proofErr w:type="spellEnd"/>
            <w:r w:rsidRPr="009A7A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A7A64">
              <w:rPr>
                <w:b w:val="0"/>
                <w:sz w:val="22"/>
                <w:szCs w:val="22"/>
              </w:rPr>
              <w:t>kohale</w:t>
            </w:r>
            <w:proofErr w:type="spellEnd"/>
            <w:r w:rsidRPr="009A7A64">
              <w:rPr>
                <w:b w:val="0"/>
                <w:sz w:val="22"/>
                <w:szCs w:val="22"/>
              </w:rPr>
              <w:t>.</w:t>
            </w:r>
          </w:p>
        </w:tc>
      </w:tr>
      <w:tr w:rsidR="0014780C" w:rsidRPr="004273E3" w14:paraId="78114F65" w14:textId="77777777" w:rsidTr="00BC0B64">
        <w:tc>
          <w:tcPr>
            <w:tcW w:w="2016" w:type="dxa"/>
            <w:shd w:val="clear" w:color="auto" w:fill="auto"/>
          </w:tcPr>
          <w:p w14:paraId="78114F63" w14:textId="77777777" w:rsidR="0014780C" w:rsidRPr="004273E3" w:rsidRDefault="002E195F" w:rsidP="005A17B1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</w:t>
            </w:r>
            <w:r w:rsidR="00711FCC" w:rsidRPr="004273E3">
              <w:rPr>
                <w:sz w:val="22"/>
                <w:szCs w:val="22"/>
                <w:lang w:val="et-EE"/>
              </w:rPr>
              <w:t xml:space="preserve">haldamine </w:t>
            </w:r>
          </w:p>
        </w:tc>
        <w:tc>
          <w:tcPr>
            <w:tcW w:w="7371" w:type="dxa"/>
            <w:shd w:val="clear" w:color="auto" w:fill="auto"/>
          </w:tcPr>
          <w:p w14:paraId="78114F64" w14:textId="7187CCAB" w:rsidR="0014780C" w:rsidRPr="004273E3" w:rsidRDefault="00E95ABA" w:rsidP="00BC0B6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Kaarte, võtmeid väljastab</w:t>
            </w:r>
            <w:r w:rsidR="004B7324">
              <w:rPr>
                <w:b w:val="0"/>
                <w:sz w:val="22"/>
                <w:szCs w:val="22"/>
                <w:lang w:val="et-EE"/>
              </w:rPr>
              <w:t xml:space="preserve">, </w:t>
            </w:r>
            <w:r w:rsidRPr="004273E3">
              <w:rPr>
                <w:b w:val="0"/>
                <w:sz w:val="22"/>
                <w:szCs w:val="22"/>
                <w:lang w:val="et-EE"/>
              </w:rPr>
              <w:t>võtab vastu</w:t>
            </w:r>
            <w:r w:rsidR="004B7324">
              <w:rPr>
                <w:b w:val="0"/>
                <w:sz w:val="22"/>
                <w:szCs w:val="22"/>
                <w:lang w:val="et-EE"/>
              </w:rPr>
              <w:t xml:space="preserve"> ja </w:t>
            </w:r>
            <w:r w:rsidR="002D4EE7" w:rsidRPr="004273E3">
              <w:rPr>
                <w:b w:val="0"/>
                <w:sz w:val="22"/>
                <w:szCs w:val="22"/>
                <w:lang w:val="et-EE"/>
              </w:rPr>
              <w:t>peab</w:t>
            </w:r>
            <w:r w:rsidR="002D4EE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4B7324">
              <w:rPr>
                <w:b w:val="0"/>
                <w:sz w:val="22"/>
                <w:szCs w:val="22"/>
                <w:lang w:val="et-EE"/>
              </w:rPr>
              <w:t xml:space="preserve">nende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üle arvestust </w:t>
            </w:r>
            <w:r w:rsidR="00650AF2">
              <w:rPr>
                <w:b w:val="0"/>
                <w:sz w:val="22"/>
                <w:szCs w:val="22"/>
                <w:lang w:val="et-EE"/>
              </w:rPr>
              <w:t>üürnik.</w:t>
            </w:r>
          </w:p>
        </w:tc>
      </w:tr>
      <w:tr w:rsidR="00D7626B" w:rsidRPr="004273E3" w14:paraId="78114F68" w14:textId="77777777" w:rsidTr="00BC0B64">
        <w:tc>
          <w:tcPr>
            <w:tcW w:w="2016" w:type="dxa"/>
            <w:shd w:val="clear" w:color="auto" w:fill="auto"/>
          </w:tcPr>
          <w:p w14:paraId="78114F66" w14:textId="77777777" w:rsidR="00D7626B" w:rsidRPr="004273E3" w:rsidRDefault="00D7626B" w:rsidP="006B566D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371" w:type="dxa"/>
            <w:shd w:val="clear" w:color="auto" w:fill="auto"/>
          </w:tcPr>
          <w:p w14:paraId="78114F67" w14:textId="01C3C1CC" w:rsidR="00D7626B" w:rsidRPr="004273E3" w:rsidRDefault="002D4EE7" w:rsidP="00BC0B6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Reguleerib üürnik. 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Pealkiri1"/>
        <w:rPr>
          <w:sz w:val="22"/>
          <w:szCs w:val="22"/>
        </w:rPr>
      </w:pPr>
      <w:bookmarkStart w:id="4" w:name="_Toc460252973"/>
      <w:r w:rsidRPr="004273E3">
        <w:rPr>
          <w:sz w:val="22"/>
          <w:szCs w:val="22"/>
        </w:rPr>
        <w:t>HOONE</w:t>
      </w:r>
      <w:r w:rsidR="009844A4" w:rsidRPr="004273E3">
        <w:rPr>
          <w:sz w:val="22"/>
          <w:szCs w:val="22"/>
        </w:rPr>
        <w:t xml:space="preserve"> JA KINNISTU</w:t>
      </w:r>
      <w:r w:rsidRPr="004273E3">
        <w:rPr>
          <w:sz w:val="22"/>
          <w:szCs w:val="22"/>
        </w:rPr>
        <w:t xml:space="preserve"> INFO</w:t>
      </w:r>
      <w:r w:rsidR="002E195F" w:rsidRPr="004273E3">
        <w:rPr>
          <w:sz w:val="22"/>
          <w:szCs w:val="22"/>
        </w:rPr>
        <w:t>TAHVLID, REKLAAM</w:t>
      </w:r>
      <w:bookmarkEnd w:id="4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77777777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Kõik hoonel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7777777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4DEE6462" w:rsidR="000E0527" w:rsidRPr="004273E3" w:rsidRDefault="000E052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 w:rsidR="002D4EE7">
              <w:rPr>
                <w:b w:val="0"/>
                <w:sz w:val="22"/>
                <w:szCs w:val="22"/>
                <w:lang w:val="et-EE"/>
              </w:rPr>
              <w:t>üürnik</w:t>
            </w:r>
            <w:r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Pealkiri1"/>
        <w:rPr>
          <w:sz w:val="22"/>
          <w:szCs w:val="22"/>
        </w:rPr>
      </w:pPr>
      <w:bookmarkStart w:id="5" w:name="_Toc460252974"/>
      <w:r w:rsidRPr="004273E3">
        <w:rPr>
          <w:sz w:val="22"/>
          <w:szCs w:val="22"/>
        </w:rPr>
        <w:t>PARKIMISE KORRALD</w:t>
      </w:r>
      <w:r w:rsidR="002A3E3C" w:rsidRPr="004273E3">
        <w:rPr>
          <w:sz w:val="22"/>
          <w:szCs w:val="22"/>
        </w:rPr>
        <w:t>US</w:t>
      </w:r>
      <w:bookmarkEnd w:id="5"/>
      <w:r w:rsidRPr="004273E3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351655B2" w:rsidR="00F3614B" w:rsidRPr="004273E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0BF7143D" w:rsidR="00F3614B" w:rsidRPr="004273E3" w:rsidRDefault="00650AF2" w:rsidP="0080088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Parkla asub maja ees ning </w:t>
            </w:r>
            <w:proofErr w:type="spellStart"/>
            <w:r>
              <w:rPr>
                <w:b w:val="0"/>
                <w:sz w:val="22"/>
                <w:szCs w:val="22"/>
                <w:lang w:val="et-EE"/>
              </w:rPr>
              <w:t>māja</w:t>
            </w:r>
            <w:proofErr w:type="spellEnd"/>
            <w:r>
              <w:rPr>
                <w:b w:val="0"/>
                <w:sz w:val="22"/>
                <w:szCs w:val="22"/>
                <w:lang w:val="et-EE"/>
              </w:rPr>
              <w:t xml:space="preserve"> taga.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3C2971A9" w:rsidR="007E0CB5" w:rsidRPr="004273E3" w:rsidRDefault="009A7A64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Asub maja taga.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77777777" w:rsidR="00CB7DC0" w:rsidRPr="004273E3" w:rsidRDefault="00CB7DC0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Jalgrataste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77777777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Jalgrattaid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Pealkiri1"/>
        <w:rPr>
          <w:sz w:val="22"/>
          <w:szCs w:val="22"/>
        </w:rPr>
      </w:pPr>
      <w:bookmarkStart w:id="6" w:name="_Toc460252975"/>
      <w:r w:rsidRPr="004273E3">
        <w:rPr>
          <w:sz w:val="22"/>
          <w:szCs w:val="22"/>
        </w:rPr>
        <w:t>ÜHISKASUTATAVATE RUUMIDE KASUTUSKORD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51A81163" w14:textId="2EFE9C01" w:rsidR="00F3614B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kasutamast või kasutada laskmast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Pealkiri1"/>
        <w:rPr>
          <w:sz w:val="22"/>
          <w:szCs w:val="22"/>
        </w:rPr>
      </w:pPr>
      <w:bookmarkStart w:id="7" w:name="_Toc460252976"/>
      <w:r w:rsidRPr="004273E3">
        <w:rPr>
          <w:sz w:val="22"/>
          <w:szCs w:val="22"/>
        </w:rPr>
        <w:t xml:space="preserve">KÄITUMINE </w:t>
      </w:r>
      <w:r w:rsidR="00B207FB" w:rsidRPr="004273E3">
        <w:rPr>
          <w:sz w:val="22"/>
          <w:szCs w:val="22"/>
        </w:rPr>
        <w:t>OHUOLUKORDADES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78B3A575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sz w:val="22"/>
                <w:szCs w:val="22"/>
                <w:lang w:val="et-EE"/>
              </w:rPr>
              <w:t>Lisas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77777777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RKAS-i kliendituge E-R kell 8.00 - 1</w:t>
            </w:r>
            <w:r w:rsidR="00B527C3">
              <w:rPr>
                <w:b w:val="0"/>
                <w:sz w:val="22"/>
                <w:szCs w:val="22"/>
                <w:lang w:val="et-EE"/>
              </w:rPr>
              <w:t>8</w:t>
            </w:r>
            <w:r w:rsidRPr="004273E3">
              <w:rPr>
                <w:b w:val="0"/>
                <w:sz w:val="22"/>
                <w:szCs w:val="22"/>
                <w:lang w:val="et-EE"/>
              </w:rPr>
              <w:t>.00, tel (+372) 605 0000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7C96082D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ATS keskuse igapäevase vaatleja</w:t>
            </w:r>
            <w:r w:rsidR="00252782">
              <w:rPr>
                <w:b w:val="0"/>
                <w:sz w:val="22"/>
                <w:szCs w:val="22"/>
                <w:lang w:val="et-EE"/>
              </w:rPr>
              <w:t xml:space="preserve">.  </w:t>
            </w:r>
          </w:p>
          <w:p w14:paraId="78114F99" w14:textId="77777777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3CEED265" w:rsidR="00513BDD" w:rsidRPr="004273E3" w:rsidRDefault="000E0527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3" w14:textId="36D69CE5" w:rsidR="003840FA" w:rsidRPr="004273E3" w:rsidRDefault="00714FFD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töökohale ja ametile vastava tuleohutusalase juhendamise ning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 xml:space="preserve">. Üürileandja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 xml:space="preserve">Üürnik </w:t>
            </w:r>
            <w:r w:rsidR="003840FA" w:rsidRPr="004273E3">
              <w:rPr>
                <w:sz w:val="22"/>
                <w:szCs w:val="22"/>
                <w:lang w:val="et-EE"/>
              </w:rPr>
              <w:lastRenderedPageBreak/>
              <w:t>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7777777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77777777" w:rsidR="00FA67CD" w:rsidRPr="004273E3" w:rsidRDefault="00FA67CD" w:rsidP="00834717">
      <w:pPr>
        <w:pStyle w:val="Pealkiri1"/>
        <w:rPr>
          <w:sz w:val="22"/>
          <w:szCs w:val="22"/>
        </w:rPr>
      </w:pPr>
      <w:bookmarkStart w:id="8" w:name="_Toc460252977"/>
      <w:r w:rsidRPr="004273E3">
        <w:rPr>
          <w:sz w:val="22"/>
          <w:szCs w:val="22"/>
        </w:rPr>
        <w:t>KÄITUMINE PUUDUSTE, RIKETE, AVARIIDE KOR</w:t>
      </w:r>
      <w:r w:rsidR="006130B1" w:rsidRPr="004273E3">
        <w:rPr>
          <w:sz w:val="22"/>
          <w:szCs w:val="22"/>
        </w:rPr>
        <w:t>RAL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77777777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RKAS klienditoele E-R kell 8.00 -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1</w:t>
            </w:r>
            <w:r w:rsidR="00B527C3">
              <w:rPr>
                <w:b w:val="0"/>
                <w:sz w:val="22"/>
                <w:szCs w:val="22"/>
                <w:lang w:val="et-EE"/>
              </w:rPr>
              <w:t>8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.00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3" w:history="1">
              <w:r w:rsidR="00D61263" w:rsidRPr="00062842">
                <w:rPr>
                  <w:rStyle w:val="H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2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2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2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2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Teavitaja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107D48B5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4A6D054F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650AF2">
              <w:rPr>
                <w:b w:val="0"/>
                <w:sz w:val="22"/>
                <w:szCs w:val="22"/>
                <w:lang w:val="et-EE"/>
              </w:rPr>
              <w:t>hoone haldur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Allmrkuseviid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Pealkiri1"/>
        <w:rPr>
          <w:sz w:val="22"/>
          <w:szCs w:val="22"/>
        </w:rPr>
      </w:pPr>
      <w:bookmarkStart w:id="9" w:name="_Toc460252978"/>
      <w:r w:rsidRPr="004273E3">
        <w:rPr>
          <w:sz w:val="22"/>
          <w:szCs w:val="22"/>
        </w:rPr>
        <w:t>SISEKLIIMA</w:t>
      </w:r>
      <w:r w:rsidR="005D72C1" w:rsidRPr="004273E3">
        <w:rPr>
          <w:sz w:val="22"/>
          <w:szCs w:val="22"/>
        </w:rPr>
        <w:t xml:space="preserve"> </w:t>
      </w:r>
      <w:r w:rsidR="00FE2323" w:rsidRPr="004273E3">
        <w:rPr>
          <w:sz w:val="22"/>
          <w:szCs w:val="22"/>
        </w:rPr>
        <w:t>JA</w:t>
      </w:r>
      <w:r w:rsidR="00DC0B8A" w:rsidRPr="004273E3">
        <w:rPr>
          <w:sz w:val="22"/>
          <w:szCs w:val="22"/>
        </w:rPr>
        <w:t xml:space="preserve"> </w:t>
      </w:r>
      <w:r w:rsidR="00FE2323" w:rsidRPr="004273E3">
        <w:rPr>
          <w:sz w:val="22"/>
          <w:szCs w:val="22"/>
        </w:rPr>
        <w:t>TEHNOSÜSTEEMID</w:t>
      </w:r>
      <w:r w:rsidR="003904A7" w:rsidRPr="004273E3">
        <w:rPr>
          <w:sz w:val="22"/>
          <w:szCs w:val="22"/>
        </w:rPr>
        <w:t>E HOOLDUS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22552F94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Kütteperioodi ruumiõhutemperatuur ei ole madalam kui 21C (kui välisõhk ei ole madalam kui -22C).</w:t>
            </w:r>
          </w:p>
          <w:p w14:paraId="3EBB589C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25C (kui välisõhk ei ole kõrgem kui 27C).</w:t>
            </w:r>
          </w:p>
          <w:p w14:paraId="42FE8EED" w14:textId="37AE604E" w:rsidR="00BC6581" w:rsidRPr="00C542FC" w:rsidRDefault="00650AF2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Hoones puuduvad õhuniisutusseadmed</w:t>
            </w:r>
            <w:r w:rsidR="007E7FBE" w:rsidRPr="00C542FC">
              <w:rPr>
                <w:sz w:val="22"/>
                <w:szCs w:val="22"/>
                <w:lang w:val="et-EE"/>
              </w:rPr>
              <w:t xml:space="preserve">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="007E7FBE"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7ED87998" w:rsidR="00BC6581" w:rsidRPr="00C542FC" w:rsidRDefault="00650AF2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Hoones on sundventilatsioon</w:t>
            </w:r>
            <w:r w:rsidR="008417DB" w:rsidRPr="00C542FC">
              <w:rPr>
                <w:sz w:val="22"/>
                <w:szCs w:val="22"/>
                <w:lang w:val="et-EE"/>
              </w:rPr>
              <w:t>.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="008417DB"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tagab projekteerimisjärgse õhuvahetuse. Üürnikul on keelatud ventilatsiooniavasid iseseisvalt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RKASi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78114FC9" w14:textId="05D02FB2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78114FCB" w14:textId="747709A2" w:rsidR="009E03CA" w:rsidRPr="004021C4" w:rsidRDefault="00184DCB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sissepuhke-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Pealkiri1"/>
        <w:rPr>
          <w:sz w:val="22"/>
          <w:szCs w:val="22"/>
        </w:rPr>
      </w:pPr>
      <w:bookmarkStart w:id="10" w:name="_Toc460252979"/>
      <w:r w:rsidRPr="004273E3">
        <w:rPr>
          <w:sz w:val="22"/>
          <w:szCs w:val="22"/>
        </w:rPr>
        <w:t>HE</w:t>
      </w:r>
      <w:r w:rsidR="00A47C48" w:rsidRPr="004273E3">
        <w:rPr>
          <w:sz w:val="22"/>
          <w:szCs w:val="22"/>
        </w:rPr>
        <w:t>A</w:t>
      </w:r>
      <w:r w:rsidRPr="004273E3">
        <w:rPr>
          <w:sz w:val="22"/>
          <w:szCs w:val="22"/>
        </w:rPr>
        <w:t xml:space="preserve">KORD HOONES </w:t>
      </w:r>
      <w:r w:rsidR="00A47C48" w:rsidRPr="004273E3">
        <w:rPr>
          <w:sz w:val="22"/>
          <w:szCs w:val="22"/>
        </w:rPr>
        <w:t>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A" w14:textId="4751752F" w:rsidR="00184DCB" w:rsidRPr="00C542FC" w:rsidRDefault="00E90EC9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. Müra tekitavad ja üürniku igapäevast tööd segavad tööd tuleb üürnikuga kooskõlastada</w:t>
            </w:r>
            <w:r w:rsidR="00650AF2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27117812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  <w:r w:rsidR="009A7A64" w:rsidRPr="009A7A64">
              <w:rPr>
                <w:sz w:val="22"/>
                <w:szCs w:val="22"/>
                <w:lang w:val="et-EE"/>
              </w:rPr>
              <w:t xml:space="preserve">Üürileandja tagab jäätmete sorteerimise võimaluse (olme-, paber/ papp, </w:t>
            </w:r>
            <w:proofErr w:type="spellStart"/>
            <w:r w:rsidR="009A7A64" w:rsidRPr="009A7A64">
              <w:rPr>
                <w:sz w:val="22"/>
                <w:szCs w:val="22"/>
                <w:lang w:val="et-EE"/>
              </w:rPr>
              <w:t>bio</w:t>
            </w:r>
            <w:proofErr w:type="spellEnd"/>
            <w:r w:rsidR="009A7A64" w:rsidRPr="009A7A64">
              <w:rPr>
                <w:sz w:val="22"/>
                <w:szCs w:val="22"/>
                <w:lang w:val="et-EE"/>
              </w:rPr>
              <w:t xml:space="preserve">, pakend) ning </w:t>
            </w:r>
            <w:proofErr w:type="spellStart"/>
            <w:r w:rsidR="009A7A64" w:rsidRPr="009A7A64">
              <w:rPr>
                <w:sz w:val="22"/>
                <w:szCs w:val="22"/>
                <w:lang w:val="et-EE"/>
              </w:rPr>
              <w:t>äraveo</w:t>
            </w:r>
            <w:proofErr w:type="spellEnd"/>
            <w:r w:rsidR="009A7A64" w:rsidRPr="009A7A64">
              <w:rPr>
                <w:sz w:val="22"/>
                <w:szCs w:val="22"/>
                <w:lang w:val="et-EE"/>
              </w:rPr>
              <w:t>.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suuregabariidilisi esemeid, keskkonnale ohtlikke jäätmeid (nende äravedu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77777777" w:rsidR="00E63D2B" w:rsidRPr="004273E3" w:rsidRDefault="008C461A" w:rsidP="00FC5729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Heiskamist korraldab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ürileandja, 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77777777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 vaid juhul, kui selles on üürilepingus kokku lepitud. Lipu </w:t>
            </w:r>
            <w:r w:rsidRPr="004273E3">
              <w:rPr>
                <w:b w:val="0"/>
                <w:sz w:val="22"/>
                <w:szCs w:val="22"/>
                <w:lang w:val="et-EE"/>
              </w:rPr>
              <w:lastRenderedPageBreak/>
              <w:t>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ürnik, va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Pealkiri1"/>
        <w:rPr>
          <w:sz w:val="22"/>
          <w:szCs w:val="22"/>
        </w:rPr>
      </w:pPr>
      <w:bookmarkStart w:id="11" w:name="_Toc460252980"/>
      <w:r w:rsidRPr="004273E3">
        <w:rPr>
          <w:sz w:val="22"/>
          <w:szCs w:val="22"/>
        </w:rPr>
        <w:t xml:space="preserve">SUITSETAMINE </w:t>
      </w:r>
      <w:r w:rsidR="001E2885">
        <w:rPr>
          <w:sz w:val="22"/>
          <w:szCs w:val="22"/>
        </w:rPr>
        <w:t>HOONES JA TERRITOORIUMIL</w:t>
      </w:r>
      <w:bookmarkEnd w:id="11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9" w14:textId="71F63792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Suitsetamine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Suitsetamine on </w:t>
            </w:r>
            <w:r w:rsidRPr="004273E3">
              <w:rPr>
                <w:b w:val="0"/>
                <w:sz w:val="22"/>
                <w:szCs w:val="22"/>
                <w:lang w:val="et-EE"/>
              </w:rPr>
              <w:t>lubatud üksnes selleks ette nähtud ruumi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(</w:t>
            </w:r>
            <w:r w:rsidRPr="004273E3">
              <w:rPr>
                <w:b w:val="0"/>
                <w:sz w:val="22"/>
                <w:szCs w:val="22"/>
                <w:lang w:val="et-EE"/>
              </w:rPr>
              <w:t>de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)</w:t>
            </w:r>
            <w:r w:rsidR="00C542FC">
              <w:rPr>
                <w:b w:val="0"/>
                <w:sz w:val="22"/>
                <w:szCs w:val="22"/>
                <w:lang w:val="et-EE"/>
              </w:rPr>
              <w:t>s.</w:t>
            </w:r>
          </w:p>
          <w:p w14:paraId="78114FEB" w14:textId="315B1289" w:rsidR="008C461A" w:rsidRPr="004273E3" w:rsidRDefault="008C461A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C461A">
              <w:rPr>
                <w:b w:val="0"/>
                <w:sz w:val="22"/>
                <w:szCs w:val="22"/>
                <w:lang w:val="et-EE"/>
              </w:rPr>
              <w:t xml:space="preserve">Suitsuruum </w:t>
            </w:r>
            <w:r w:rsidRPr="00B468D6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650AF2" w:rsidRPr="00B468D6">
              <w:rPr>
                <w:b w:val="0"/>
                <w:sz w:val="22"/>
                <w:szCs w:val="22"/>
                <w:lang w:val="et-EE"/>
              </w:rPr>
              <w:t>puudub</w:t>
            </w:r>
            <w:r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Pr="008C461A">
              <w:rPr>
                <w:b w:val="0"/>
                <w:sz w:val="22"/>
                <w:szCs w:val="22"/>
                <w:lang w:val="et-EE"/>
              </w:rPr>
              <w:t xml:space="preserve">Välisterritooriumil </w:t>
            </w:r>
            <w:r w:rsidR="00650AF2">
              <w:rPr>
                <w:b w:val="0"/>
                <w:sz w:val="22"/>
                <w:szCs w:val="22"/>
                <w:lang w:val="et-EE"/>
              </w:rPr>
              <w:t>tohib suitsetada</w:t>
            </w:r>
            <w:r w:rsidR="004E5DCA">
              <w:rPr>
                <w:b w:val="0"/>
                <w:sz w:val="22"/>
                <w:szCs w:val="22"/>
                <w:lang w:val="et-EE"/>
              </w:rPr>
              <w:t xml:space="preserve"> maja tagumises parklas.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Pealkiri1"/>
        <w:rPr>
          <w:sz w:val="22"/>
          <w:szCs w:val="22"/>
          <w:lang w:eastAsia="et-EE"/>
        </w:rPr>
      </w:pPr>
      <w:bookmarkStart w:id="12" w:name="_Toc460252981"/>
      <w:r w:rsidRPr="004273E3">
        <w:rPr>
          <w:sz w:val="22"/>
          <w:szCs w:val="22"/>
          <w:lang w:eastAsia="et-EE"/>
        </w:rPr>
        <w:t>KESKKONNASÄÄSTLIKU KÄITUMISE PÕHIMÕTTED</w:t>
      </w:r>
      <w:bookmarkEnd w:id="12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Säästmaks elektrienergiat tuleb töötajatel tööruumist lahkudes kustutada tuled. </w:t>
            </w:r>
          </w:p>
          <w:p w14:paraId="78114FF1" w14:textId="77777777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puhkerežiim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 vähendada ka jahutusvõimsuse vajadust.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Vältida ruumide ü</w:t>
            </w:r>
            <w:r w:rsidR="00B55A8C" w:rsidRPr="00187622">
              <w:rPr>
                <w:b w:val="0"/>
                <w:sz w:val="22"/>
                <w:szCs w:val="22"/>
                <w:lang w:val="et-EE"/>
              </w:rPr>
              <w:t>lekütmist. K</w:t>
            </w:r>
            <w:r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="00B55A8C"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="00B55A8C"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77777777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Lisale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77777777" w:rsidR="00B207FB" w:rsidRPr="004273E3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Paberkäterätte tuleb kasutada säästlikult.</w:t>
            </w:r>
          </w:p>
        </w:tc>
      </w:tr>
    </w:tbl>
    <w:p w14:paraId="78115000" w14:textId="77777777" w:rsidR="00041EB2" w:rsidRPr="004273E3" w:rsidRDefault="00FA67CD" w:rsidP="00834717">
      <w:pPr>
        <w:pStyle w:val="Pealkiri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</w:p>
    <w:p w14:paraId="78115001" w14:textId="77777777" w:rsidR="00E31E15" w:rsidRPr="004273E3" w:rsidRDefault="00AC61E1" w:rsidP="00834717">
      <w:pPr>
        <w:pStyle w:val="Pealkiri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3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3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7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7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7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53066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F443B" w14:textId="77777777" w:rsidR="00FC5C60" w:rsidRDefault="00FC5C60">
      <w:r>
        <w:separator/>
      </w:r>
    </w:p>
  </w:endnote>
  <w:endnote w:type="continuationSeparator" w:id="0">
    <w:p w14:paraId="7FBEEEB7" w14:textId="77777777" w:rsidR="00FC5C60" w:rsidRDefault="00FC5C60">
      <w:r>
        <w:continuationSeparator/>
      </w:r>
    </w:p>
  </w:endnote>
  <w:endnote w:type="continuationNotice" w:id="1">
    <w:p w14:paraId="4C734152" w14:textId="77777777" w:rsidR="00FC5C60" w:rsidRDefault="00FC5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5013" w14:textId="77777777" w:rsidR="00834DDD" w:rsidRPr="00834DDD" w:rsidRDefault="00834DDD" w:rsidP="00834DDD">
    <w:pPr>
      <w:pStyle w:val="Jalus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Jalus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5016" w14:textId="77777777" w:rsidR="003F0193" w:rsidRDefault="003F0193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F9A6" w14:textId="77777777" w:rsidR="00FC5C60" w:rsidRDefault="00FC5C60">
      <w:r>
        <w:separator/>
      </w:r>
    </w:p>
  </w:footnote>
  <w:footnote w:type="continuationSeparator" w:id="0">
    <w:p w14:paraId="2FE0FAEC" w14:textId="77777777" w:rsidR="00FC5C60" w:rsidRDefault="00FC5C60">
      <w:r>
        <w:continuationSeparator/>
      </w:r>
    </w:p>
  </w:footnote>
  <w:footnote w:type="continuationNotice" w:id="1">
    <w:p w14:paraId="57695C35" w14:textId="77777777" w:rsidR="00FC5C60" w:rsidRDefault="00FC5C60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Allmrkuseviid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500F" w14:textId="77777777" w:rsidR="003F0193" w:rsidRPr="00834DDD" w:rsidRDefault="00250C51" w:rsidP="00A414C0">
    <w:pPr>
      <w:pStyle w:val="Pis"/>
    </w:pPr>
    <w:r w:rsidRPr="00834DDD">
      <w:rPr>
        <w:noProof/>
      </w:rPr>
      <w:drawing>
        <wp:inline distT="0" distB="0" distL="0" distR="0" wp14:anchorId="78115018" wp14:editId="78115019">
          <wp:extent cx="2628900" cy="219075"/>
          <wp:effectExtent l="0" t="0" r="0" b="0"/>
          <wp:docPr id="8" name="Pilt 8" descr="logo_r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k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HAL.1.</w:t>
    </w:r>
    <w:proofErr w:type="gramStart"/>
    <w:r w:rsidR="00834DDD" w:rsidRPr="00834DDD">
      <w:t>5.v</w:t>
    </w:r>
    <w:proofErr w:type="gramEnd"/>
    <w:r w:rsidR="00834DDD" w:rsidRPr="00834DDD">
      <w:t>01</w:t>
    </w:r>
  </w:p>
  <w:p w14:paraId="78115010" w14:textId="77777777" w:rsidR="00834DDD" w:rsidRPr="00834DDD" w:rsidRDefault="00834DDD" w:rsidP="00A414C0">
    <w:pPr>
      <w:pStyle w:val="Pis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>: 12.09.2016</w:t>
    </w:r>
  </w:p>
  <w:p w14:paraId="78115011" w14:textId="77777777" w:rsidR="003F0193" w:rsidRDefault="003F0193" w:rsidP="003904A7">
    <w:pPr>
      <w:pStyle w:val="Pis"/>
      <w:jc w:val="center"/>
      <w:rPr>
        <w:highlight w:val="lightGray"/>
      </w:rPr>
    </w:pPr>
  </w:p>
  <w:p w14:paraId="78115012" w14:textId="4CABBCD8" w:rsidR="003F0193" w:rsidRPr="003904A7" w:rsidRDefault="000E3CDE" w:rsidP="003904A7">
    <w:pPr>
      <w:pStyle w:val="Pis"/>
      <w:jc w:val="center"/>
    </w:pPr>
    <w:proofErr w:type="spellStart"/>
    <w:r>
      <w:t>Endla</w:t>
    </w:r>
    <w:proofErr w:type="spellEnd"/>
    <w:r>
      <w:t xml:space="preserve"> </w:t>
    </w:r>
    <w:proofErr w:type="spellStart"/>
    <w:r w:rsidR="00B468D6">
      <w:t>tn</w:t>
    </w:r>
    <w:proofErr w:type="spellEnd"/>
    <w:r w:rsidR="00B468D6">
      <w:t xml:space="preserve"> </w:t>
    </w:r>
    <w:r>
      <w:t xml:space="preserve">10a, Tallinn, </w:t>
    </w:r>
    <w:proofErr w:type="spellStart"/>
    <w:r>
      <w:t>Harjumaa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5015" w14:textId="77777777" w:rsidR="003F0193" w:rsidRDefault="003F0193" w:rsidP="00AC61E1">
    <w:pPr>
      <w:pStyle w:val="Pis"/>
      <w:jc w:val="center"/>
    </w:pPr>
    <w:r>
      <w:t xml:space="preserve">Rahu 38, </w:t>
    </w:r>
    <w:proofErr w:type="spellStart"/>
    <w:r>
      <w:t>Jõhvi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13"/>
  </w:num>
  <w:num w:numId="10">
    <w:abstractNumId w:val="0"/>
  </w:num>
  <w:num w:numId="11">
    <w:abstractNumId w:val="13"/>
  </w:num>
  <w:num w:numId="12">
    <w:abstractNumId w:val="14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"/>
  </w:num>
  <w:num w:numId="18">
    <w:abstractNumId w:val="12"/>
  </w:num>
  <w:num w:numId="19">
    <w:abstractNumId w:val="8"/>
  </w:num>
  <w:num w:numId="20">
    <w:abstractNumId w:val="13"/>
  </w:num>
  <w:num w:numId="21">
    <w:abstractNumId w:val="9"/>
  </w:num>
  <w:num w:numId="22">
    <w:abstractNumId w:val="2"/>
  </w:num>
  <w:num w:numId="23">
    <w:abstractNumId w:val="13"/>
  </w:num>
  <w:num w:numId="24">
    <w:abstractNumId w:val="13"/>
  </w:num>
  <w:num w:numId="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30D0"/>
    <w:rsid w:val="00027F00"/>
    <w:rsid w:val="00033E8C"/>
    <w:rsid w:val="00041294"/>
    <w:rsid w:val="00041EB2"/>
    <w:rsid w:val="0004454F"/>
    <w:rsid w:val="000510FB"/>
    <w:rsid w:val="00051A22"/>
    <w:rsid w:val="00054560"/>
    <w:rsid w:val="00056185"/>
    <w:rsid w:val="0005682C"/>
    <w:rsid w:val="00060FE2"/>
    <w:rsid w:val="000610FC"/>
    <w:rsid w:val="0006240A"/>
    <w:rsid w:val="0006368C"/>
    <w:rsid w:val="00064C2D"/>
    <w:rsid w:val="000651A4"/>
    <w:rsid w:val="00073908"/>
    <w:rsid w:val="00074BEA"/>
    <w:rsid w:val="00074C3F"/>
    <w:rsid w:val="00077B23"/>
    <w:rsid w:val="00083D92"/>
    <w:rsid w:val="000936FD"/>
    <w:rsid w:val="0009529F"/>
    <w:rsid w:val="000A73F9"/>
    <w:rsid w:val="000B176F"/>
    <w:rsid w:val="000B2358"/>
    <w:rsid w:val="000B6DE7"/>
    <w:rsid w:val="000D2037"/>
    <w:rsid w:val="000D2CAC"/>
    <w:rsid w:val="000D5A15"/>
    <w:rsid w:val="000D7236"/>
    <w:rsid w:val="000E0527"/>
    <w:rsid w:val="000E0C14"/>
    <w:rsid w:val="000E1111"/>
    <w:rsid w:val="000E2CA6"/>
    <w:rsid w:val="000E3CDE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6446"/>
    <w:rsid w:val="0010758F"/>
    <w:rsid w:val="001106B6"/>
    <w:rsid w:val="0011520D"/>
    <w:rsid w:val="00124D03"/>
    <w:rsid w:val="001364D5"/>
    <w:rsid w:val="001409A1"/>
    <w:rsid w:val="001432A1"/>
    <w:rsid w:val="0014780C"/>
    <w:rsid w:val="00150AED"/>
    <w:rsid w:val="00157B6F"/>
    <w:rsid w:val="00166B90"/>
    <w:rsid w:val="00167EF5"/>
    <w:rsid w:val="001751A1"/>
    <w:rsid w:val="00176381"/>
    <w:rsid w:val="0018234F"/>
    <w:rsid w:val="00184DCB"/>
    <w:rsid w:val="001851D5"/>
    <w:rsid w:val="00187622"/>
    <w:rsid w:val="00197996"/>
    <w:rsid w:val="001A36FD"/>
    <w:rsid w:val="001A3B82"/>
    <w:rsid w:val="001A5712"/>
    <w:rsid w:val="001B2F88"/>
    <w:rsid w:val="001B61E0"/>
    <w:rsid w:val="001C2718"/>
    <w:rsid w:val="001C6711"/>
    <w:rsid w:val="001D13C5"/>
    <w:rsid w:val="001D1622"/>
    <w:rsid w:val="001D1D5A"/>
    <w:rsid w:val="001D70D3"/>
    <w:rsid w:val="001E2885"/>
    <w:rsid w:val="001E6EF1"/>
    <w:rsid w:val="001F20FC"/>
    <w:rsid w:val="001F233B"/>
    <w:rsid w:val="001F2852"/>
    <w:rsid w:val="001F43AD"/>
    <w:rsid w:val="0020415E"/>
    <w:rsid w:val="00212339"/>
    <w:rsid w:val="0021453E"/>
    <w:rsid w:val="0022462B"/>
    <w:rsid w:val="00225F17"/>
    <w:rsid w:val="002305BB"/>
    <w:rsid w:val="00244064"/>
    <w:rsid w:val="002460BF"/>
    <w:rsid w:val="00246633"/>
    <w:rsid w:val="00250C51"/>
    <w:rsid w:val="00252782"/>
    <w:rsid w:val="00255A35"/>
    <w:rsid w:val="00255C00"/>
    <w:rsid w:val="002561D7"/>
    <w:rsid w:val="00262C93"/>
    <w:rsid w:val="002659A7"/>
    <w:rsid w:val="002714C2"/>
    <w:rsid w:val="0027248E"/>
    <w:rsid w:val="0027345B"/>
    <w:rsid w:val="0028045E"/>
    <w:rsid w:val="00282173"/>
    <w:rsid w:val="00283EAC"/>
    <w:rsid w:val="00287EF5"/>
    <w:rsid w:val="002901F5"/>
    <w:rsid w:val="00296A68"/>
    <w:rsid w:val="002A3E3C"/>
    <w:rsid w:val="002B1BC2"/>
    <w:rsid w:val="002B4402"/>
    <w:rsid w:val="002B5134"/>
    <w:rsid w:val="002C22F8"/>
    <w:rsid w:val="002C7005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3009D4"/>
    <w:rsid w:val="00300CAE"/>
    <w:rsid w:val="00314DD0"/>
    <w:rsid w:val="00320AF9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6459"/>
    <w:rsid w:val="00376AA6"/>
    <w:rsid w:val="00377B88"/>
    <w:rsid w:val="00383DC3"/>
    <w:rsid w:val="003840FA"/>
    <w:rsid w:val="003904A7"/>
    <w:rsid w:val="0039141F"/>
    <w:rsid w:val="003A155A"/>
    <w:rsid w:val="003B3512"/>
    <w:rsid w:val="003C0181"/>
    <w:rsid w:val="003C060A"/>
    <w:rsid w:val="003C21A9"/>
    <w:rsid w:val="003C7198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52318"/>
    <w:rsid w:val="0046013D"/>
    <w:rsid w:val="0046125F"/>
    <w:rsid w:val="00480C1D"/>
    <w:rsid w:val="00486197"/>
    <w:rsid w:val="00492717"/>
    <w:rsid w:val="004A113B"/>
    <w:rsid w:val="004A32FA"/>
    <w:rsid w:val="004A6E71"/>
    <w:rsid w:val="004B0084"/>
    <w:rsid w:val="004B690F"/>
    <w:rsid w:val="004B7324"/>
    <w:rsid w:val="004C4CC1"/>
    <w:rsid w:val="004D426A"/>
    <w:rsid w:val="004E388E"/>
    <w:rsid w:val="004E5DCA"/>
    <w:rsid w:val="004E7B01"/>
    <w:rsid w:val="004F530C"/>
    <w:rsid w:val="004F6F5D"/>
    <w:rsid w:val="004F7CBF"/>
    <w:rsid w:val="00500AF6"/>
    <w:rsid w:val="00506B3B"/>
    <w:rsid w:val="005108ED"/>
    <w:rsid w:val="00513BDD"/>
    <w:rsid w:val="0051680E"/>
    <w:rsid w:val="0052385C"/>
    <w:rsid w:val="005245D0"/>
    <w:rsid w:val="0053066D"/>
    <w:rsid w:val="00532245"/>
    <w:rsid w:val="00535CDE"/>
    <w:rsid w:val="005368BC"/>
    <w:rsid w:val="00540EA8"/>
    <w:rsid w:val="005427BA"/>
    <w:rsid w:val="005470EC"/>
    <w:rsid w:val="00550E81"/>
    <w:rsid w:val="00551DD3"/>
    <w:rsid w:val="00554EFB"/>
    <w:rsid w:val="00556AD5"/>
    <w:rsid w:val="00557B4B"/>
    <w:rsid w:val="00560D79"/>
    <w:rsid w:val="00561613"/>
    <w:rsid w:val="00566D22"/>
    <w:rsid w:val="00571A7A"/>
    <w:rsid w:val="00574FFD"/>
    <w:rsid w:val="0058000B"/>
    <w:rsid w:val="00597F0D"/>
    <w:rsid w:val="005A017D"/>
    <w:rsid w:val="005A03AB"/>
    <w:rsid w:val="005A1745"/>
    <w:rsid w:val="005A17B1"/>
    <w:rsid w:val="005A3611"/>
    <w:rsid w:val="005A79AA"/>
    <w:rsid w:val="005B0F86"/>
    <w:rsid w:val="005C0D10"/>
    <w:rsid w:val="005C16B9"/>
    <w:rsid w:val="005C76CB"/>
    <w:rsid w:val="005D5BF0"/>
    <w:rsid w:val="005D70F4"/>
    <w:rsid w:val="005D70FD"/>
    <w:rsid w:val="005D72C1"/>
    <w:rsid w:val="005E0B51"/>
    <w:rsid w:val="005E544D"/>
    <w:rsid w:val="005F3F31"/>
    <w:rsid w:val="005F7AF2"/>
    <w:rsid w:val="00600F42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5155"/>
    <w:rsid w:val="006409BB"/>
    <w:rsid w:val="00640FC4"/>
    <w:rsid w:val="00650AF2"/>
    <w:rsid w:val="00653250"/>
    <w:rsid w:val="0065753A"/>
    <w:rsid w:val="006613E5"/>
    <w:rsid w:val="00663365"/>
    <w:rsid w:val="006664F0"/>
    <w:rsid w:val="00666B9A"/>
    <w:rsid w:val="006704AA"/>
    <w:rsid w:val="00672991"/>
    <w:rsid w:val="00682FD8"/>
    <w:rsid w:val="00684994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B79B0"/>
    <w:rsid w:val="006C59AD"/>
    <w:rsid w:val="006C6E94"/>
    <w:rsid w:val="006D0B93"/>
    <w:rsid w:val="006D2678"/>
    <w:rsid w:val="006D6241"/>
    <w:rsid w:val="006E2F4B"/>
    <w:rsid w:val="006E6224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24F32"/>
    <w:rsid w:val="00727CA4"/>
    <w:rsid w:val="00733616"/>
    <w:rsid w:val="00743C74"/>
    <w:rsid w:val="007467C3"/>
    <w:rsid w:val="00761336"/>
    <w:rsid w:val="00764DF5"/>
    <w:rsid w:val="00765A9A"/>
    <w:rsid w:val="00765E4C"/>
    <w:rsid w:val="007909F9"/>
    <w:rsid w:val="00793A69"/>
    <w:rsid w:val="00795140"/>
    <w:rsid w:val="007977C3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5F64"/>
    <w:rsid w:val="007C6334"/>
    <w:rsid w:val="007D1273"/>
    <w:rsid w:val="007D44DD"/>
    <w:rsid w:val="007D4968"/>
    <w:rsid w:val="007D7ABF"/>
    <w:rsid w:val="007E0CB5"/>
    <w:rsid w:val="007E1C20"/>
    <w:rsid w:val="007E7FBE"/>
    <w:rsid w:val="0080088B"/>
    <w:rsid w:val="008206B7"/>
    <w:rsid w:val="00822C6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417DB"/>
    <w:rsid w:val="008457AA"/>
    <w:rsid w:val="008463B4"/>
    <w:rsid w:val="008505A4"/>
    <w:rsid w:val="00853420"/>
    <w:rsid w:val="00853DDE"/>
    <w:rsid w:val="00860CC9"/>
    <w:rsid w:val="008621EE"/>
    <w:rsid w:val="00862EB3"/>
    <w:rsid w:val="008653F9"/>
    <w:rsid w:val="0088313C"/>
    <w:rsid w:val="00891DC8"/>
    <w:rsid w:val="00891EA1"/>
    <w:rsid w:val="00897C85"/>
    <w:rsid w:val="008A472D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F1107"/>
    <w:rsid w:val="00903862"/>
    <w:rsid w:val="009055FB"/>
    <w:rsid w:val="00906470"/>
    <w:rsid w:val="00907CE1"/>
    <w:rsid w:val="00924EDC"/>
    <w:rsid w:val="00925DDC"/>
    <w:rsid w:val="0092721F"/>
    <w:rsid w:val="0093253C"/>
    <w:rsid w:val="00941F73"/>
    <w:rsid w:val="009516CD"/>
    <w:rsid w:val="00951A97"/>
    <w:rsid w:val="00954AA2"/>
    <w:rsid w:val="009603A3"/>
    <w:rsid w:val="00962855"/>
    <w:rsid w:val="00962DE6"/>
    <w:rsid w:val="009639F6"/>
    <w:rsid w:val="00971657"/>
    <w:rsid w:val="00982F0C"/>
    <w:rsid w:val="009844A4"/>
    <w:rsid w:val="0098540C"/>
    <w:rsid w:val="00993B1C"/>
    <w:rsid w:val="009972EC"/>
    <w:rsid w:val="009A0311"/>
    <w:rsid w:val="009A7A64"/>
    <w:rsid w:val="009B1360"/>
    <w:rsid w:val="009B5D58"/>
    <w:rsid w:val="009C10E6"/>
    <w:rsid w:val="009C7191"/>
    <w:rsid w:val="009D4DFA"/>
    <w:rsid w:val="009D640F"/>
    <w:rsid w:val="009E03CA"/>
    <w:rsid w:val="009E5C2C"/>
    <w:rsid w:val="009E5E5C"/>
    <w:rsid w:val="009F3446"/>
    <w:rsid w:val="009F4749"/>
    <w:rsid w:val="009F74D7"/>
    <w:rsid w:val="009F7A8E"/>
    <w:rsid w:val="00A0616D"/>
    <w:rsid w:val="00A127D9"/>
    <w:rsid w:val="00A12BE0"/>
    <w:rsid w:val="00A2576D"/>
    <w:rsid w:val="00A31D0F"/>
    <w:rsid w:val="00A347BD"/>
    <w:rsid w:val="00A347C9"/>
    <w:rsid w:val="00A40EB0"/>
    <w:rsid w:val="00A414C0"/>
    <w:rsid w:val="00A47C48"/>
    <w:rsid w:val="00A50E28"/>
    <w:rsid w:val="00A53071"/>
    <w:rsid w:val="00A6078E"/>
    <w:rsid w:val="00A62AC4"/>
    <w:rsid w:val="00A62D43"/>
    <w:rsid w:val="00A63147"/>
    <w:rsid w:val="00A654E9"/>
    <w:rsid w:val="00A66B03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C13F5"/>
    <w:rsid w:val="00AC1A0E"/>
    <w:rsid w:val="00AC4218"/>
    <w:rsid w:val="00AC61E1"/>
    <w:rsid w:val="00AE03A4"/>
    <w:rsid w:val="00AE15B9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40410"/>
    <w:rsid w:val="00B43FE2"/>
    <w:rsid w:val="00B468D6"/>
    <w:rsid w:val="00B527C3"/>
    <w:rsid w:val="00B53B8C"/>
    <w:rsid w:val="00B55A8C"/>
    <w:rsid w:val="00B61F17"/>
    <w:rsid w:val="00B61F2F"/>
    <w:rsid w:val="00B64C6E"/>
    <w:rsid w:val="00B65D08"/>
    <w:rsid w:val="00B755FF"/>
    <w:rsid w:val="00B77C98"/>
    <w:rsid w:val="00B800AA"/>
    <w:rsid w:val="00B80960"/>
    <w:rsid w:val="00B86770"/>
    <w:rsid w:val="00B916D3"/>
    <w:rsid w:val="00BA060A"/>
    <w:rsid w:val="00BA119F"/>
    <w:rsid w:val="00BA2E85"/>
    <w:rsid w:val="00BB3C42"/>
    <w:rsid w:val="00BB3D87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C00D88"/>
    <w:rsid w:val="00C01EEE"/>
    <w:rsid w:val="00C074BE"/>
    <w:rsid w:val="00C11EF1"/>
    <w:rsid w:val="00C15EE9"/>
    <w:rsid w:val="00C16B9D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62FF"/>
    <w:rsid w:val="00C7166C"/>
    <w:rsid w:val="00C72D20"/>
    <w:rsid w:val="00C813C5"/>
    <w:rsid w:val="00C82BFE"/>
    <w:rsid w:val="00C840B2"/>
    <w:rsid w:val="00C91BD4"/>
    <w:rsid w:val="00C96E35"/>
    <w:rsid w:val="00C97CBB"/>
    <w:rsid w:val="00CA0F66"/>
    <w:rsid w:val="00CA22D6"/>
    <w:rsid w:val="00CA2FB0"/>
    <w:rsid w:val="00CA7264"/>
    <w:rsid w:val="00CA7CAD"/>
    <w:rsid w:val="00CB7DC0"/>
    <w:rsid w:val="00CC0965"/>
    <w:rsid w:val="00CC7769"/>
    <w:rsid w:val="00CD2949"/>
    <w:rsid w:val="00CD43E1"/>
    <w:rsid w:val="00CD5269"/>
    <w:rsid w:val="00CE0149"/>
    <w:rsid w:val="00CE33F4"/>
    <w:rsid w:val="00CE6C26"/>
    <w:rsid w:val="00CF2770"/>
    <w:rsid w:val="00CF3F8D"/>
    <w:rsid w:val="00CF5A1A"/>
    <w:rsid w:val="00CF740A"/>
    <w:rsid w:val="00D00D18"/>
    <w:rsid w:val="00D070A3"/>
    <w:rsid w:val="00D109F9"/>
    <w:rsid w:val="00D10D28"/>
    <w:rsid w:val="00D1314B"/>
    <w:rsid w:val="00D2018F"/>
    <w:rsid w:val="00D21B82"/>
    <w:rsid w:val="00D263C5"/>
    <w:rsid w:val="00D275EC"/>
    <w:rsid w:val="00D278E6"/>
    <w:rsid w:val="00D33680"/>
    <w:rsid w:val="00D34EEE"/>
    <w:rsid w:val="00D35AD7"/>
    <w:rsid w:val="00D40999"/>
    <w:rsid w:val="00D448A6"/>
    <w:rsid w:val="00D4680A"/>
    <w:rsid w:val="00D51DAA"/>
    <w:rsid w:val="00D61263"/>
    <w:rsid w:val="00D61878"/>
    <w:rsid w:val="00D7311C"/>
    <w:rsid w:val="00D743D4"/>
    <w:rsid w:val="00D7626B"/>
    <w:rsid w:val="00D774BD"/>
    <w:rsid w:val="00D826A3"/>
    <w:rsid w:val="00D8577A"/>
    <w:rsid w:val="00D86996"/>
    <w:rsid w:val="00D9435D"/>
    <w:rsid w:val="00D9499D"/>
    <w:rsid w:val="00D950FB"/>
    <w:rsid w:val="00DA47A2"/>
    <w:rsid w:val="00DB0B3A"/>
    <w:rsid w:val="00DC0B8A"/>
    <w:rsid w:val="00DC22A8"/>
    <w:rsid w:val="00DC25BB"/>
    <w:rsid w:val="00DC59E2"/>
    <w:rsid w:val="00DD3E23"/>
    <w:rsid w:val="00DD5729"/>
    <w:rsid w:val="00DD6B5B"/>
    <w:rsid w:val="00DE0E26"/>
    <w:rsid w:val="00DE34AA"/>
    <w:rsid w:val="00DE40BD"/>
    <w:rsid w:val="00DE4F6E"/>
    <w:rsid w:val="00DF3946"/>
    <w:rsid w:val="00DF5F93"/>
    <w:rsid w:val="00E02736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53A2"/>
    <w:rsid w:val="00E37DCA"/>
    <w:rsid w:val="00E63D2B"/>
    <w:rsid w:val="00E648E0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B4C4E"/>
    <w:rsid w:val="00EC7921"/>
    <w:rsid w:val="00EE18B4"/>
    <w:rsid w:val="00EE1E49"/>
    <w:rsid w:val="00EF1E7A"/>
    <w:rsid w:val="00EF2280"/>
    <w:rsid w:val="00F00E33"/>
    <w:rsid w:val="00F03324"/>
    <w:rsid w:val="00F0658E"/>
    <w:rsid w:val="00F07DDD"/>
    <w:rsid w:val="00F13535"/>
    <w:rsid w:val="00F21CEF"/>
    <w:rsid w:val="00F23A5B"/>
    <w:rsid w:val="00F261B7"/>
    <w:rsid w:val="00F31FD6"/>
    <w:rsid w:val="00F3614B"/>
    <w:rsid w:val="00F423CE"/>
    <w:rsid w:val="00F438ED"/>
    <w:rsid w:val="00F5038A"/>
    <w:rsid w:val="00F50C16"/>
    <w:rsid w:val="00F54B32"/>
    <w:rsid w:val="00F60BF1"/>
    <w:rsid w:val="00F65F96"/>
    <w:rsid w:val="00F671CD"/>
    <w:rsid w:val="00F733BC"/>
    <w:rsid w:val="00F818DA"/>
    <w:rsid w:val="00F84DD6"/>
    <w:rsid w:val="00F941A0"/>
    <w:rsid w:val="00F978EB"/>
    <w:rsid w:val="00FA19FF"/>
    <w:rsid w:val="00FA2223"/>
    <w:rsid w:val="00FA329B"/>
    <w:rsid w:val="00FA67CD"/>
    <w:rsid w:val="00FB1F4A"/>
    <w:rsid w:val="00FC3396"/>
    <w:rsid w:val="00FC5729"/>
    <w:rsid w:val="00FC5C60"/>
    <w:rsid w:val="00FD1D2F"/>
    <w:rsid w:val="00FD4D31"/>
    <w:rsid w:val="00FE0376"/>
    <w:rsid w:val="00FE09A5"/>
    <w:rsid w:val="00FE2323"/>
    <w:rsid w:val="00FE6A8E"/>
    <w:rsid w:val="00FE7979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14F15"/>
  <w15:chartTrackingRefBased/>
  <w15:docId w15:val="{5D47569D-BEF2-437E-8C57-2B63DD2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F6373"/>
    <w:rPr>
      <w:lang w:val="en-GB" w:eastAsia="en-US"/>
    </w:rPr>
  </w:style>
  <w:style w:type="paragraph" w:styleId="Pealkiri1">
    <w:name w:val="heading 1"/>
    <w:basedOn w:val="Aste1"/>
    <w:next w:val="Normaallaad"/>
    <w:qFormat/>
    <w:rsid w:val="00834717"/>
    <w:pPr>
      <w:outlineLvl w:val="0"/>
    </w:pPr>
    <w:rPr>
      <w:lang w:val="et-EE"/>
    </w:rPr>
  </w:style>
  <w:style w:type="paragraph" w:styleId="Pealkiri2">
    <w:name w:val="heading 2"/>
    <w:basedOn w:val="Normaallaad"/>
    <w:next w:val="Normaallaad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rsid w:val="002C22F8"/>
    <w:rPr>
      <w:color w:val="0000FF"/>
      <w:u w:val="single"/>
    </w:rPr>
  </w:style>
  <w:style w:type="table" w:styleId="Kontuurtabel">
    <w:name w:val="Table Grid"/>
    <w:basedOn w:val="Normaaltabe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allaad"/>
    <w:rsid w:val="00BE6938"/>
    <w:pPr>
      <w:numPr>
        <w:numId w:val="1"/>
      </w:numPr>
      <w:spacing w:after="120"/>
      <w:jc w:val="both"/>
    </w:pPr>
    <w:rPr>
      <w:b/>
      <w:bCs/>
    </w:rPr>
  </w:style>
  <w:style w:type="paragraph" w:styleId="SK1">
    <w:name w:val="toc 1"/>
    <w:basedOn w:val="Normaallaad"/>
    <w:next w:val="Normaallaad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SK2">
    <w:name w:val="toc 2"/>
    <w:basedOn w:val="Normaallaad"/>
    <w:next w:val="Normaallaad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SK3">
    <w:name w:val="toc 3"/>
    <w:basedOn w:val="Normaallaad"/>
    <w:next w:val="Normaallaad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SK4">
    <w:name w:val="toc 4"/>
    <w:basedOn w:val="Normaallaad"/>
    <w:next w:val="Normaallaad"/>
    <w:autoRedefine/>
    <w:semiHidden/>
    <w:rsid w:val="00BE6938"/>
    <w:pPr>
      <w:ind w:left="600"/>
    </w:pPr>
    <w:rPr>
      <w:sz w:val="18"/>
      <w:szCs w:val="21"/>
    </w:rPr>
  </w:style>
  <w:style w:type="paragraph" w:styleId="SK5">
    <w:name w:val="toc 5"/>
    <w:basedOn w:val="Normaallaad"/>
    <w:next w:val="Normaallaad"/>
    <w:autoRedefine/>
    <w:semiHidden/>
    <w:rsid w:val="00BE6938"/>
    <w:pPr>
      <w:ind w:left="800"/>
    </w:pPr>
    <w:rPr>
      <w:sz w:val="18"/>
      <w:szCs w:val="21"/>
    </w:rPr>
  </w:style>
  <w:style w:type="paragraph" w:styleId="SK6">
    <w:name w:val="toc 6"/>
    <w:basedOn w:val="Normaallaad"/>
    <w:next w:val="Normaallaad"/>
    <w:autoRedefine/>
    <w:semiHidden/>
    <w:rsid w:val="00BE6938"/>
    <w:pPr>
      <w:ind w:left="1000"/>
    </w:pPr>
    <w:rPr>
      <w:sz w:val="18"/>
      <w:szCs w:val="21"/>
    </w:rPr>
  </w:style>
  <w:style w:type="paragraph" w:styleId="SK7">
    <w:name w:val="toc 7"/>
    <w:basedOn w:val="Normaallaad"/>
    <w:next w:val="Normaallaad"/>
    <w:autoRedefine/>
    <w:semiHidden/>
    <w:rsid w:val="00BE6938"/>
    <w:pPr>
      <w:ind w:left="1200"/>
    </w:pPr>
    <w:rPr>
      <w:sz w:val="18"/>
      <w:szCs w:val="21"/>
    </w:rPr>
  </w:style>
  <w:style w:type="paragraph" w:styleId="SK8">
    <w:name w:val="toc 8"/>
    <w:basedOn w:val="Normaallaad"/>
    <w:next w:val="Normaallaad"/>
    <w:autoRedefine/>
    <w:semiHidden/>
    <w:rsid w:val="00BE6938"/>
    <w:pPr>
      <w:ind w:left="1400"/>
    </w:pPr>
    <w:rPr>
      <w:sz w:val="18"/>
      <w:szCs w:val="21"/>
    </w:rPr>
  </w:style>
  <w:style w:type="paragraph" w:styleId="SK9">
    <w:name w:val="toc 9"/>
    <w:basedOn w:val="Normaallaad"/>
    <w:next w:val="Normaallaad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Jalus">
    <w:name w:val="footer"/>
    <w:basedOn w:val="Normaallaad"/>
    <w:link w:val="JalusMrk"/>
    <w:uiPriority w:val="99"/>
    <w:rsid w:val="00073908"/>
    <w:pPr>
      <w:tabs>
        <w:tab w:val="center" w:pos="4703"/>
        <w:tab w:val="right" w:pos="9406"/>
      </w:tabs>
    </w:pPr>
  </w:style>
  <w:style w:type="character" w:styleId="Lehekljenumber">
    <w:name w:val="page number"/>
    <w:basedOn w:val="Liguvaikefont"/>
    <w:rsid w:val="00073908"/>
  </w:style>
  <w:style w:type="paragraph" w:styleId="Pis">
    <w:name w:val="header"/>
    <w:basedOn w:val="Normaallaad"/>
    <w:rsid w:val="00073908"/>
    <w:pPr>
      <w:tabs>
        <w:tab w:val="center" w:pos="4703"/>
        <w:tab w:val="right" w:pos="9406"/>
      </w:tabs>
    </w:pPr>
  </w:style>
  <w:style w:type="character" w:customStyle="1" w:styleId="Pealkiri3Mrk">
    <w:name w:val="Pealkiri 3 Märk"/>
    <w:link w:val="Pealkiri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JalusMrk">
    <w:name w:val="Jalus Märk"/>
    <w:link w:val="Jalus"/>
    <w:uiPriority w:val="99"/>
    <w:rsid w:val="006F6373"/>
    <w:rPr>
      <w:lang w:val="en-GB" w:eastAsia="en-US"/>
    </w:rPr>
  </w:style>
  <w:style w:type="paragraph" w:styleId="Loendilik">
    <w:name w:val="List Paragraph"/>
    <w:basedOn w:val="Normaallaad"/>
    <w:uiPriority w:val="34"/>
    <w:qFormat/>
    <w:rsid w:val="0027345B"/>
    <w:pPr>
      <w:ind w:left="708"/>
    </w:pPr>
  </w:style>
  <w:style w:type="character" w:styleId="Kommentaariviide">
    <w:name w:val="annotation reference"/>
    <w:rsid w:val="00BD2A6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BD2A6C"/>
  </w:style>
  <w:style w:type="character" w:customStyle="1" w:styleId="KommentaaritekstMrk">
    <w:name w:val="Kommentaari tekst Märk"/>
    <w:link w:val="Kommentaaritekst"/>
    <w:rsid w:val="00BD2A6C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BD2A6C"/>
    <w:rPr>
      <w:b/>
      <w:bCs/>
    </w:rPr>
  </w:style>
  <w:style w:type="character" w:customStyle="1" w:styleId="KommentaariteemaMrk">
    <w:name w:val="Kommentaari teema Märk"/>
    <w:link w:val="Kommentaariteema"/>
    <w:rsid w:val="00BD2A6C"/>
    <w:rPr>
      <w:b/>
      <w:bCs/>
      <w:lang w:val="en-GB" w:eastAsia="en-US"/>
    </w:rPr>
  </w:style>
  <w:style w:type="character" w:customStyle="1" w:styleId="Pealkiri4Mrk">
    <w:name w:val="Pealkiri 4 Märk"/>
    <w:link w:val="Pealkiri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Sisukorrapealkiri">
    <w:name w:val="TOC Heading"/>
    <w:basedOn w:val="Pealkiri1"/>
    <w:next w:val="Normaallaad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Klastatudhperlink">
    <w:name w:val="FollowedHyperlink"/>
    <w:rsid w:val="00560D79"/>
    <w:rPr>
      <w:color w:val="800080"/>
      <w:u w:val="single"/>
    </w:rPr>
  </w:style>
  <w:style w:type="paragraph" w:styleId="Allmrkusetekst">
    <w:name w:val="footnote text"/>
    <w:basedOn w:val="Normaallaad"/>
    <w:link w:val="AllmrkusetekstMrk"/>
    <w:rsid w:val="00CA0F66"/>
  </w:style>
  <w:style w:type="character" w:customStyle="1" w:styleId="AllmrkusetekstMrk">
    <w:name w:val="Allmärkuse tekst Märk"/>
    <w:link w:val="Allmrkusetekst"/>
    <w:rsid w:val="00CA0F66"/>
    <w:rPr>
      <w:lang w:val="en-GB" w:eastAsia="en-US"/>
    </w:rPr>
  </w:style>
  <w:style w:type="character" w:styleId="Allmrkuseviide">
    <w:name w:val="footnote reference"/>
    <w:rsid w:val="00CA0F66"/>
    <w:rPr>
      <w:vertAlign w:val="superscript"/>
    </w:rPr>
  </w:style>
  <w:style w:type="paragraph" w:styleId="Kehatekst">
    <w:name w:val="Body Text"/>
    <w:basedOn w:val="Normaallaad"/>
    <w:link w:val="KehatekstMrk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KehatekstMrk">
    <w:name w:val="Kehatekst Märk"/>
    <w:link w:val="Kehateks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allaad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lienditugi@rkas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lienditugi@rkas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49CB927020945B36FEF90E8855D8B" ma:contentTypeVersion="7" ma:contentTypeDescription="Loo uus dokument" ma:contentTypeScope="" ma:versionID="b8700f7a2782fd4d585c3f62b66a69dd">
  <xsd:schema xmlns:xsd="http://www.w3.org/2001/XMLSchema" xmlns:p="http://schemas.microsoft.com/office/2006/metadata/properties" xmlns:ns2="4b59edad-1d3c-4520-85fb-002eb726f802" targetNamespace="http://schemas.microsoft.com/office/2006/metadata/properties" ma:root="true" ma:fieldsID="ed82d1a584c5db13c3ca53dfbd5094d7" ns2:_="">
    <xsd:import namespace="4b59edad-1d3c-4520-85fb-002eb726f802"/>
    <xsd:element name="properties">
      <xsd:complexType>
        <xsd:sequence>
          <xsd:element name="documentManagement">
            <xsd:complexType>
              <xsd:all>
                <xsd:element ref="ns2:Kontrollitud" minOccurs="0"/>
                <xsd:element ref="ns2:PROOV" minOccurs="0"/>
                <xsd:element ref="ns2:PROOV2" minOccurs="0"/>
                <xsd:element ref="ns2:Osalen_x0020_talveseminari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b59edad-1d3c-4520-85fb-002eb726f802" elementFormDefault="qualified">
    <xsd:import namespace="http://schemas.microsoft.com/office/2006/documentManagement/types"/>
    <xsd:element name="Kontrollitud" ma:index="9" nillable="true" ma:displayName="Kontrollitud" ma:format="Dropdown" ma:internalName="Kontrollitud">
      <xsd:simpleType>
        <xsd:restriction base="dms:Choice">
          <xsd:enumeration value="Kontrollimata"/>
          <xsd:enumeration value="Vajab parandamist"/>
          <xsd:enumeration value="Korras"/>
          <xsd:enumeration value="Välja saadetud"/>
        </xsd:restriction>
      </xsd:simpleType>
    </xsd:element>
    <xsd:element name="PROOV" ma:index="10" nillable="true" ma:displayName="PROOV" ma:internalName="PROOV">
      <xsd:simpleType>
        <xsd:restriction base="dms:Text">
          <xsd:maxLength value="255"/>
        </xsd:restriction>
      </xsd:simpleType>
    </xsd:element>
    <xsd:element name="PROOV2" ma:index="11" nillable="true" ma:displayName="PROOV2" ma:internalName="PROOV2">
      <xsd:simpleType>
        <xsd:restriction base="dms:Text">
          <xsd:maxLength value="255"/>
        </xsd:restriction>
      </xsd:simpleType>
    </xsd:element>
    <xsd:element name="Osalen_x0020_talveseminaril" ma:index="14" nillable="true" ma:displayName="." ma:default="1" ma:internalName="Osalen_x0020_talveseminari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alen_x0020_talveseminaril xmlns="4b59edad-1d3c-4520-85fb-002eb726f802">true</Osalen_x0020_talveseminaril>
    <PROOV xmlns="4b59edad-1d3c-4520-85fb-002eb726f802" xsi:nil="true"/>
    <PROOV2 xmlns="4b59edad-1d3c-4520-85fb-002eb726f802" xsi:nil="true"/>
    <Kontrollitud xmlns="4b59edad-1d3c-4520-85fb-002eb726f802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80AF1-22F0-4471-BD32-4163193B0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edad-1d3c-4520-85fb-002eb726f80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4b59edad-1d3c-4520-85fb-002eb726f802"/>
  </ds:schemaRefs>
</ds:datastoreItem>
</file>

<file path=customXml/itemProps4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0BCBCA-9A9B-49B0-9250-025EC3CF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1981</Words>
  <Characters>11492</Characters>
  <Application>Microsoft Office Word</Application>
  <DocSecurity>0</DocSecurity>
  <Lines>95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Hoone sisekorraeeskiri</vt:lpstr>
      <vt:lpstr>Hoone sisekorraeeskiri</vt:lpstr>
      <vt:lpstr>Hoone sisekorraeeskiri</vt:lpstr>
    </vt:vector>
  </TitlesOfParts>
  <Company>Riigi Kinnisvara AS</Company>
  <LinksUpToDate>false</LinksUpToDate>
  <CharactersWithSpaces>13447</CharactersWithSpaces>
  <SharedDoc>false</SharedDoc>
  <HLinks>
    <vt:vector size="90" baseType="variant">
      <vt:variant>
        <vt:i4>2293769</vt:i4>
      </vt:variant>
      <vt:variant>
        <vt:i4>146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2293769</vt:i4>
      </vt:variant>
      <vt:variant>
        <vt:i4>128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2293769</vt:i4>
      </vt:variant>
      <vt:variant>
        <vt:i4>87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1638456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_Toc460252982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_Toc460252981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_Toc460252980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_Toc460252979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_Toc460252978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_Toc460252977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_Toc460252976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_Toc460252975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_Toc460252974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_Toc460252973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_Toc460252972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_Toc460252971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Kristin Tamm</cp:lastModifiedBy>
  <cp:revision>9</cp:revision>
  <cp:lastPrinted>2016-08-22T07:33:00Z</cp:lastPrinted>
  <dcterms:created xsi:type="dcterms:W3CDTF">2019-11-25T11:13:00Z</dcterms:created>
  <dcterms:modified xsi:type="dcterms:W3CDTF">2020-08-25T10:32:00Z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0x01010021F49CB927020945B36FEF90E8855D8B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</Properties>
</file>